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B0" w:rsidRPr="00F57EC2" w:rsidRDefault="002635B0" w:rsidP="00A618E3">
      <w:pPr>
        <w:rPr>
          <w:i/>
          <w:sz w:val="28"/>
          <w:szCs w:val="28"/>
        </w:rPr>
      </w:pPr>
      <w:r w:rsidRPr="00F57EC2">
        <w:rPr>
          <w:i/>
          <w:sz w:val="28"/>
          <w:szCs w:val="28"/>
        </w:rPr>
        <w:t>TISKOVÁ ZPRÁVA</w:t>
      </w:r>
      <w:r>
        <w:rPr>
          <w:i/>
          <w:sz w:val="28"/>
          <w:szCs w:val="28"/>
        </w:rPr>
        <w:br/>
        <w:t>__________________________________________________________</w:t>
      </w:r>
    </w:p>
    <w:p w:rsidR="002635B0" w:rsidRPr="00BA13F5" w:rsidRDefault="002635B0" w:rsidP="00A618E3">
      <w:pPr>
        <w:rPr>
          <w:b/>
          <w:sz w:val="36"/>
          <w:szCs w:val="36"/>
        </w:rPr>
      </w:pPr>
      <w:r w:rsidRPr="00BA13F5">
        <w:rPr>
          <w:b/>
          <w:sz w:val="36"/>
          <w:szCs w:val="36"/>
        </w:rPr>
        <w:t>SpeedChain 2012 nabídl komplexní pohled na logistiku</w:t>
      </w:r>
    </w:p>
    <w:p w:rsidR="002635B0" w:rsidRPr="003E782E" w:rsidRDefault="002635B0" w:rsidP="00A618E3">
      <w:pPr>
        <w:jc w:val="both"/>
      </w:pPr>
      <w:r w:rsidRPr="003E782E">
        <w:t>Pražský Břevnovský klášter otevřel letos na samém začátku listopadu již posedmé své brány všem, kdo mají zájem načerpat nové znalosti, shlédnout aktuální trendy a setkat se se stovkami dalších logistiků a vrcholových manažerů. I letos jeho reprezentační prostory byly svědky toho nejlepšího, co nejen česká, ale i celá středoevropská logistická scéna nabízí.  Historicky největší množství účastníků, specializovaných tématicky vymezených sekcí, diskuzních fór, panelových diskuzí, partnerů i udělených národních i evropských cen. SpeedChain 2012 navázal na progresivní trend uplynulých ročníků a nabídl vše, co lze od konference očekávat jak po odborné stránce, tak i po té společenské.</w:t>
      </w:r>
    </w:p>
    <w:p w:rsidR="002635B0" w:rsidRPr="003E782E" w:rsidRDefault="002635B0" w:rsidP="00A618E3">
      <w:pPr>
        <w:jc w:val="both"/>
      </w:pPr>
      <w:r w:rsidRPr="003E782E">
        <w:t xml:space="preserve">Dopolední blok konference byl jako vždy věnovaný především aktuálním ekonomickým tématům. Poutavé příspěvky takových osobností, jakými jsou </w:t>
      </w:r>
      <w:smartTag w:uri="urn:schemas-microsoft-com:office:smarttags" w:element="PersonName">
        <w:smartTagPr>
          <w:attr w:name="ProductID" w:val="Alfonz Antoni"/>
        </w:smartTagPr>
        <w:r w:rsidRPr="003E782E">
          <w:t>Alfonz Antoni</w:t>
        </w:r>
      </w:smartTag>
      <w:r w:rsidRPr="003E782E">
        <w:t xml:space="preserve"> – vice prezident Evropské logistické asociace, Miroslav Ševčík – ředitel Liberálního institutu, Radek Špicar – více prezident Svazu průmyslu a dopravy a Ladislav Novák – ředitel Svazu chemického průmyslu ČR vymezily základní rámec pro širokou odbornou diskuzi a nastavily vysokou laťku i pro všechny ostatní speakery. </w:t>
      </w:r>
    </w:p>
    <w:p w:rsidR="002635B0" w:rsidRPr="003E782E" w:rsidRDefault="002635B0" w:rsidP="00A618E3">
      <w:pPr>
        <w:jc w:val="both"/>
      </w:pPr>
      <w:r w:rsidRPr="003E782E">
        <w:t xml:space="preserve">Odpolední program byl s ohledem na rekordní počet účastníků a rozmanitost jejich profesních zájmů nejprve rozdělen do čtyř paralelních sekcí; </w:t>
      </w:r>
    </w:p>
    <w:p w:rsidR="003C4B5F" w:rsidRPr="003E782E" w:rsidRDefault="002635B0" w:rsidP="003C4B5F">
      <w:pPr>
        <w:jc w:val="both"/>
      </w:pPr>
      <w:r w:rsidRPr="003E782E">
        <w:t xml:space="preserve">První z nich nabídla detailní akcent problematiky železniční a multimodální dopravy a logistiky tolik specifického zboží, jakým jsou chemické látky, hromadné substráty či suroviny pro průmyslovou výrobu. </w:t>
      </w:r>
      <w:r w:rsidR="003C4B5F">
        <w:t>Významnou část této sekce</w:t>
      </w:r>
      <w:r w:rsidR="003C4B5F" w:rsidRPr="003E782E">
        <w:t xml:space="preserve"> představovala i rozsáhlá prezentace evropského projektu </w:t>
      </w:r>
      <w:proofErr w:type="spellStart"/>
      <w:r w:rsidR="003C4B5F" w:rsidRPr="003E782E">
        <w:t>Chemlog</w:t>
      </w:r>
      <w:proofErr w:type="spellEnd"/>
      <w:r w:rsidR="003C4B5F" w:rsidRPr="003E782E">
        <w:t xml:space="preserve"> T&amp;T, jeden z mála projektů věnovaný problematice integrovaného řešení aspektů logistiky chemických látek hned několika regionů v České republice a SRN.</w:t>
      </w:r>
    </w:p>
    <w:p w:rsidR="002635B0" w:rsidRPr="003E782E" w:rsidRDefault="002635B0" w:rsidP="00A618E3">
      <w:pPr>
        <w:jc w:val="both"/>
      </w:pPr>
    </w:p>
    <w:p w:rsidR="002635B0" w:rsidRPr="003E782E" w:rsidRDefault="002635B0" w:rsidP="00A618E3">
      <w:pPr>
        <w:jc w:val="both"/>
      </w:pPr>
      <w:r w:rsidRPr="003E782E">
        <w:t>Druhá z odpoledních sekcí byla zaměřena na oblast komplexního poskytování 3PL, moderní logistické systémy, individuální logistické projekty a celou řadu opatření na zvýšení kvality a bezpečnosti logistického řetězce.</w:t>
      </w:r>
    </w:p>
    <w:p w:rsidR="002635B0" w:rsidRPr="003E782E" w:rsidRDefault="002635B0" w:rsidP="00A618E3">
      <w:pPr>
        <w:jc w:val="both"/>
      </w:pPr>
      <w:r w:rsidRPr="003E782E">
        <w:t xml:space="preserve">Třetí sekce představila problematiku moderních informačních systémů a jejich vliv na efektivitu logistických procesů. </w:t>
      </w:r>
    </w:p>
    <w:p w:rsidR="002635B0" w:rsidRPr="003E782E" w:rsidRDefault="002635B0" w:rsidP="00A618E3">
      <w:pPr>
        <w:jc w:val="both"/>
      </w:pPr>
      <w:r w:rsidRPr="003E782E">
        <w:lastRenderedPageBreak/>
        <w:t xml:space="preserve">Čtvrtá sekce poskytla podrobný pohled na současný stav logistického vzdělávání v národním měřítku i v regionu střední Evropy a poskytla vhodnou platformu pro odborné setkání logistických pedagogů spolu se zástupci výrobních a obchodních společností a poskytovateli profesionálních logistických služeb. </w:t>
      </w:r>
    </w:p>
    <w:p w:rsidR="002635B0" w:rsidRPr="003E782E" w:rsidRDefault="002635B0" w:rsidP="00A618E3">
      <w:pPr>
        <w:jc w:val="both"/>
      </w:pPr>
      <w:r w:rsidRPr="003E782E">
        <w:t xml:space="preserve">Na jednotlivé sekce pak plynule navazovala ukázka na volné ploše, která nabídla unikátní podívanou na manipulaci s nebezpečnými látkami za odborné asistence jednotky TRINS. Názorná demonstrace manipulace s chemickými látkami předvedla všem divákům, jaké metody a technologie se mohou využít pro manipulaci, nakládku a přepravu nebezpečné látky, v tomto konkrétním případě acetonu. Na atraktivní „show pod širým nebem“ se podílely společnosti LC Sokotrans (Václav Živec, moderátor akce), Dekra Automobil (Jiří Došek), DENIOS (Radek Zajíc), YALE (Ivan Musil, Pavel Musil), DEXION (Richard Fišer) a Domanský (Václav Štefl). </w:t>
      </w:r>
    </w:p>
    <w:p w:rsidR="002635B0" w:rsidRPr="003E782E" w:rsidRDefault="002635B0" w:rsidP="00A618E3">
      <w:pPr>
        <w:jc w:val="both"/>
      </w:pPr>
      <w:r w:rsidRPr="003E782E">
        <w:t xml:space="preserve">Paralelně s ní proběhla sekce věnovaná problematice současného českého a evropského trhu s logistickými nemovitostmi formou kulatého stolu s účastí široké logistické veřejnosti. V moderované diskuzi zde vystoupili zástupci všech významných segmentů logistického trhu a nabídli velmi podrobný pohled na současný trh. Sekce E se konala v prostorách „Zlatého salonku“ a moderátorkou byla Ing. Simona Černá, Leasing Manager průmyslového areálu IMMOPARK Praha, který vlastní společnost Erste Group Immorent. </w:t>
      </w:r>
    </w:p>
    <w:p w:rsidR="002635B0" w:rsidRPr="003E782E" w:rsidRDefault="002635B0" w:rsidP="00A618E3">
      <w:pPr>
        <w:jc w:val="both"/>
      </w:pPr>
      <w:r w:rsidRPr="003E782E">
        <w:t>Logickým vyústěním široké palety témat prvního konferenčního dne byla panelová diskuze, jejímž smyslem bylo poskytnout komplexní pohled  na jednotlivá logistická témata. V panelu byli zastoupeni vrcholoví představitelé společností napříč zásobovacím řetězcem s tím, že mezi nosná témata patřily jednotlivé aspekty bezpečnosti, jakosti a ekologické šetrnosti logistiky a zásobovacího řetězce jako celku.</w:t>
      </w:r>
    </w:p>
    <w:p w:rsidR="002635B0" w:rsidRPr="003E782E" w:rsidRDefault="002635B0" w:rsidP="00A618E3">
      <w:pPr>
        <w:jc w:val="both"/>
      </w:pPr>
      <w:r w:rsidRPr="003E782E">
        <w:t>Nedílnou součástí konference byl již osmnáctý ročník slavnostního večera V.I.P. Logistic Rendezvous se společenským programem a živou hudbou, moderovaný panem Petrem Vondráčkem. Tento večer v letošním roce navštívilo 567 účastníků, což je rekordní  číslo, které výrazně předčilo všechny předchozí ročníky.</w:t>
      </w:r>
    </w:p>
    <w:p w:rsidR="002635B0" w:rsidRPr="003E782E" w:rsidRDefault="002635B0" w:rsidP="00A618E3">
      <w:pPr>
        <w:jc w:val="both"/>
      </w:pPr>
      <w:r w:rsidRPr="003E782E">
        <w:t>Během příjemného večera byla vyhlášena prestižní cena GFYF Supply Chain Award 2012 pro logistickou osobnost roku. Tuto cenu obdržel JUDr. Václav Živec ze společnosti LC Sokotrans.</w:t>
      </w:r>
    </w:p>
    <w:p w:rsidR="002635B0" w:rsidRPr="003E782E" w:rsidRDefault="002635B0" w:rsidP="00A618E3">
      <w:pPr>
        <w:jc w:val="both"/>
      </w:pPr>
      <w:r w:rsidRPr="003E782E">
        <w:t>Dále byly úspěšným logistickým profesionálům slavnostně Českou logistickou asociací předány certifikáty ECBL s celoevropskou platností . Cenu  předávali zástupci České logistické asociace Ing. František Kyncl, Ing. Kamil Slavík a více prezident Evropské logistické asociace Dr. Alfonz Antoni.  Úspěšnými absolventy certifikačních zkoušek jsou Doc. Ing. Petr Průša, Ph.D., Ing. David Polák, Ing. František Vojtek a Ing. David Vančata.</w:t>
      </w:r>
    </w:p>
    <w:p w:rsidR="002635B0" w:rsidRPr="003E782E" w:rsidRDefault="002635B0" w:rsidP="00A618E3">
      <w:pPr>
        <w:jc w:val="both"/>
      </w:pPr>
    </w:p>
    <w:p w:rsidR="002635B0" w:rsidRPr="003E782E" w:rsidRDefault="002635B0" w:rsidP="00A618E3">
      <w:pPr>
        <w:jc w:val="both"/>
      </w:pPr>
      <w:r w:rsidRPr="003E782E">
        <w:t xml:space="preserve">Na závěr společenského programu byla pořádána softwarová loterie, ve které se losovalo o zajímavé a hodnotné ceny, které do loterie vložili jednotliví partneři konference.  </w:t>
      </w:r>
    </w:p>
    <w:p w:rsidR="002635B0" w:rsidRPr="003E782E" w:rsidRDefault="002635B0" w:rsidP="00A618E3">
      <w:pPr>
        <w:jc w:val="both"/>
      </w:pPr>
      <w:r w:rsidRPr="003E782E">
        <w:t xml:space="preserve">Setkání na letošním slavnostním večeru V.I.P. Logistic Rendezvous se tak stalo ojedinělou příležitostí pro neformální setkání s lidmi z oboru ve velice příjemném prostředí  a zároveň šancí dozvědět se mnoho zajímavých informací a novinek z oblasti logistiky. </w:t>
      </w:r>
    </w:p>
    <w:p w:rsidR="002635B0" w:rsidRPr="003E782E" w:rsidRDefault="002635B0" w:rsidP="00A618E3">
      <w:pPr>
        <w:jc w:val="both"/>
        <w:rPr>
          <w:bCs/>
        </w:rPr>
      </w:pPr>
      <w:r>
        <w:t>Základní s</w:t>
      </w:r>
      <w:r w:rsidRPr="003E782E">
        <w:t>tatistické údaje:</w:t>
      </w:r>
    </w:p>
    <w:tbl>
      <w:tblPr>
        <w:tblW w:w="7088" w:type="dxa"/>
        <w:jc w:val="center"/>
        <w:tblBorders>
          <w:insideH w:val="single" w:sz="18" w:space="0" w:color="FFFFFF"/>
          <w:insideV w:val="single" w:sz="18" w:space="0" w:color="FFFFFF"/>
        </w:tblBorders>
        <w:tblLayout w:type="fixed"/>
        <w:tblLook w:val="01E0"/>
      </w:tblPr>
      <w:tblGrid>
        <w:gridCol w:w="3695"/>
        <w:gridCol w:w="3393"/>
      </w:tblGrid>
      <w:tr w:rsidR="002635B0" w:rsidRPr="003E782E" w:rsidTr="00C53FC5">
        <w:trPr>
          <w:trHeight w:hRule="exact" w:val="454"/>
          <w:jc w:val="center"/>
        </w:trPr>
        <w:tc>
          <w:tcPr>
            <w:tcW w:w="3695" w:type="dxa"/>
            <w:shd w:val="pct20" w:color="000000" w:fill="FFFFFF"/>
            <w:vAlign w:val="bottom"/>
          </w:tcPr>
          <w:p w:rsidR="002635B0" w:rsidRPr="00C53FC5" w:rsidRDefault="002635B0" w:rsidP="00C53FC5">
            <w:pPr>
              <w:jc w:val="both"/>
              <w:rPr>
                <w:rFonts w:cs="Arial"/>
                <w:b/>
                <w:bCs/>
                <w:i/>
                <w:color w:val="00457C"/>
                <w:lang w:val="en-GB" w:eastAsia="cs-CZ"/>
              </w:rPr>
            </w:pPr>
            <w:r w:rsidRPr="00C53FC5">
              <w:rPr>
                <w:rFonts w:cs="Arial"/>
                <w:b/>
                <w:bCs/>
                <w:color w:val="00457C"/>
                <w:lang w:eastAsia="cs-CZ"/>
              </w:rPr>
              <w:t>Ročník konference:</w:t>
            </w:r>
          </w:p>
        </w:tc>
        <w:tc>
          <w:tcPr>
            <w:tcW w:w="3393" w:type="dxa"/>
            <w:shd w:val="pct20" w:color="000000" w:fill="FFFFFF"/>
            <w:vAlign w:val="bottom"/>
          </w:tcPr>
          <w:p w:rsidR="002635B0" w:rsidRPr="00C53FC5" w:rsidRDefault="002635B0" w:rsidP="00C53FC5">
            <w:pPr>
              <w:jc w:val="right"/>
              <w:rPr>
                <w:rFonts w:cs="Arial"/>
                <w:b/>
                <w:bCs/>
                <w:color w:val="00457C"/>
                <w:lang w:eastAsia="cs-CZ"/>
              </w:rPr>
            </w:pPr>
            <w:r w:rsidRPr="00C53FC5">
              <w:rPr>
                <w:rFonts w:cs="Arial"/>
                <w:b/>
                <w:bCs/>
                <w:color w:val="00457C"/>
                <w:lang w:eastAsia="cs-CZ"/>
              </w:rPr>
              <w:t>7</w:t>
            </w:r>
          </w:p>
        </w:tc>
      </w:tr>
      <w:tr w:rsidR="002635B0" w:rsidRPr="003E782E" w:rsidTr="00C53FC5">
        <w:trPr>
          <w:trHeight w:hRule="exact" w:val="454"/>
          <w:jc w:val="center"/>
        </w:trPr>
        <w:tc>
          <w:tcPr>
            <w:tcW w:w="3695" w:type="dxa"/>
            <w:shd w:val="pct5"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Ročník:</w:t>
            </w:r>
          </w:p>
        </w:tc>
        <w:tc>
          <w:tcPr>
            <w:tcW w:w="3393" w:type="dxa"/>
            <w:shd w:val="pct5"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18</w:t>
            </w:r>
          </w:p>
        </w:tc>
      </w:tr>
      <w:tr w:rsidR="002635B0" w:rsidRPr="003E782E" w:rsidTr="00C53FC5">
        <w:trPr>
          <w:trHeight w:hRule="exact" w:val="454"/>
          <w:jc w:val="center"/>
        </w:trPr>
        <w:tc>
          <w:tcPr>
            <w:tcW w:w="3695" w:type="dxa"/>
            <w:shd w:val="pct20"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Počet speakerů:</w:t>
            </w:r>
          </w:p>
        </w:tc>
        <w:tc>
          <w:tcPr>
            <w:tcW w:w="3393" w:type="dxa"/>
            <w:shd w:val="pct20"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49</w:t>
            </w:r>
          </w:p>
        </w:tc>
      </w:tr>
      <w:tr w:rsidR="002635B0" w:rsidRPr="003E782E" w:rsidTr="00C53FC5">
        <w:trPr>
          <w:trHeight w:hRule="exact" w:val="454"/>
          <w:jc w:val="center"/>
        </w:trPr>
        <w:tc>
          <w:tcPr>
            <w:tcW w:w="3695" w:type="dxa"/>
            <w:shd w:val="pct5"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Počet panelů:</w:t>
            </w:r>
          </w:p>
        </w:tc>
        <w:tc>
          <w:tcPr>
            <w:tcW w:w="3393" w:type="dxa"/>
            <w:shd w:val="pct5"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5</w:t>
            </w:r>
          </w:p>
        </w:tc>
      </w:tr>
      <w:tr w:rsidR="002635B0" w:rsidRPr="003E782E" w:rsidTr="00C53FC5">
        <w:trPr>
          <w:trHeight w:hRule="exact" w:val="454"/>
          <w:jc w:val="center"/>
        </w:trPr>
        <w:tc>
          <w:tcPr>
            <w:tcW w:w="3695" w:type="dxa"/>
            <w:shd w:val="pct20"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Počet exkurzí:</w:t>
            </w:r>
          </w:p>
        </w:tc>
        <w:tc>
          <w:tcPr>
            <w:tcW w:w="3393" w:type="dxa"/>
            <w:shd w:val="pct20"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1</w:t>
            </w:r>
          </w:p>
        </w:tc>
      </w:tr>
      <w:tr w:rsidR="002635B0" w:rsidRPr="003E782E" w:rsidTr="00C53FC5">
        <w:trPr>
          <w:trHeight w:hRule="exact" w:val="454"/>
          <w:jc w:val="center"/>
        </w:trPr>
        <w:tc>
          <w:tcPr>
            <w:tcW w:w="3695" w:type="dxa"/>
            <w:shd w:val="pct5"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Počet účastníků konference:</w:t>
            </w:r>
          </w:p>
        </w:tc>
        <w:tc>
          <w:tcPr>
            <w:tcW w:w="3393" w:type="dxa"/>
            <w:shd w:val="pct5"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308</w:t>
            </w:r>
          </w:p>
        </w:tc>
      </w:tr>
      <w:tr w:rsidR="002635B0" w:rsidRPr="003E782E" w:rsidTr="00C53FC5">
        <w:trPr>
          <w:trHeight w:hRule="exact" w:val="454"/>
          <w:jc w:val="center"/>
        </w:trPr>
        <w:tc>
          <w:tcPr>
            <w:tcW w:w="3695" w:type="dxa"/>
            <w:shd w:val="pct20"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a V.I.P. Logistic Rendezvous:</w:t>
            </w:r>
          </w:p>
        </w:tc>
        <w:tc>
          <w:tcPr>
            <w:tcW w:w="3393" w:type="dxa"/>
            <w:shd w:val="pct20"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567</w:t>
            </w:r>
          </w:p>
        </w:tc>
      </w:tr>
      <w:tr w:rsidR="002635B0" w:rsidRPr="003E782E" w:rsidTr="00C53FC5">
        <w:trPr>
          <w:trHeight w:hRule="exact" w:val="454"/>
          <w:jc w:val="center"/>
        </w:trPr>
        <w:tc>
          <w:tcPr>
            <w:tcW w:w="3695" w:type="dxa"/>
            <w:shd w:val="pct5"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Počet účastnických zemí:</w:t>
            </w:r>
          </w:p>
        </w:tc>
        <w:tc>
          <w:tcPr>
            <w:tcW w:w="3393" w:type="dxa"/>
            <w:shd w:val="pct5"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11</w:t>
            </w:r>
          </w:p>
        </w:tc>
      </w:tr>
      <w:tr w:rsidR="002635B0" w:rsidRPr="003E782E" w:rsidTr="00C53FC5">
        <w:trPr>
          <w:trHeight w:hRule="exact" w:val="454"/>
          <w:jc w:val="center"/>
        </w:trPr>
        <w:tc>
          <w:tcPr>
            <w:tcW w:w="3695" w:type="dxa"/>
            <w:shd w:val="pct20"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Počet sponzorů a partnerů:</w:t>
            </w:r>
          </w:p>
        </w:tc>
        <w:tc>
          <w:tcPr>
            <w:tcW w:w="3393" w:type="dxa"/>
            <w:shd w:val="pct20"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54</w:t>
            </w:r>
          </w:p>
        </w:tc>
      </w:tr>
      <w:tr w:rsidR="002635B0" w:rsidRPr="003E782E" w:rsidTr="00C53FC5">
        <w:trPr>
          <w:trHeight w:hRule="exact" w:val="454"/>
          <w:jc w:val="center"/>
        </w:trPr>
        <w:tc>
          <w:tcPr>
            <w:tcW w:w="3695" w:type="dxa"/>
            <w:shd w:val="pct5"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Počet mediálních partnerů:</w:t>
            </w:r>
          </w:p>
        </w:tc>
        <w:tc>
          <w:tcPr>
            <w:tcW w:w="3393" w:type="dxa"/>
            <w:shd w:val="pct5"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14</w:t>
            </w:r>
          </w:p>
        </w:tc>
      </w:tr>
      <w:tr w:rsidR="002635B0" w:rsidRPr="003E782E" w:rsidTr="00C53FC5">
        <w:trPr>
          <w:trHeight w:hRule="exact" w:val="454"/>
          <w:jc w:val="center"/>
        </w:trPr>
        <w:tc>
          <w:tcPr>
            <w:tcW w:w="3695" w:type="dxa"/>
            <w:shd w:val="pct20"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Počet udělených ocenění:</w:t>
            </w:r>
          </w:p>
        </w:tc>
        <w:tc>
          <w:tcPr>
            <w:tcW w:w="3393" w:type="dxa"/>
            <w:shd w:val="pct20"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1</w:t>
            </w:r>
          </w:p>
        </w:tc>
      </w:tr>
      <w:tr w:rsidR="002635B0" w:rsidRPr="003E782E" w:rsidTr="00C53FC5">
        <w:trPr>
          <w:trHeight w:hRule="exact" w:val="454"/>
          <w:jc w:val="center"/>
        </w:trPr>
        <w:tc>
          <w:tcPr>
            <w:tcW w:w="3695" w:type="dxa"/>
            <w:shd w:val="pct5" w:color="000000" w:fill="FFFFFF"/>
            <w:vAlign w:val="bottom"/>
          </w:tcPr>
          <w:p w:rsidR="002635B0" w:rsidRPr="00C53FC5" w:rsidRDefault="002635B0" w:rsidP="00C53FC5">
            <w:pPr>
              <w:jc w:val="both"/>
              <w:rPr>
                <w:rFonts w:cs="Arial"/>
                <w:b/>
                <w:color w:val="00457C"/>
                <w:lang w:eastAsia="cs-CZ"/>
              </w:rPr>
            </w:pPr>
            <w:r w:rsidRPr="00C53FC5">
              <w:rPr>
                <w:rFonts w:cs="Arial"/>
                <w:b/>
                <w:color w:val="00457C"/>
                <w:lang w:eastAsia="cs-CZ"/>
              </w:rPr>
              <w:t>Počet předaných certifikátů ECBL:</w:t>
            </w:r>
          </w:p>
        </w:tc>
        <w:tc>
          <w:tcPr>
            <w:tcW w:w="3393" w:type="dxa"/>
            <w:shd w:val="pct5" w:color="000000" w:fill="FFFFFF"/>
            <w:vAlign w:val="bottom"/>
          </w:tcPr>
          <w:p w:rsidR="002635B0" w:rsidRPr="00C53FC5" w:rsidRDefault="002635B0" w:rsidP="00C53FC5">
            <w:pPr>
              <w:jc w:val="right"/>
              <w:rPr>
                <w:rFonts w:cs="Arial"/>
                <w:b/>
                <w:color w:val="00457C"/>
                <w:lang w:eastAsia="cs-CZ"/>
              </w:rPr>
            </w:pPr>
            <w:r w:rsidRPr="00C53FC5">
              <w:rPr>
                <w:rFonts w:cs="Arial"/>
                <w:b/>
                <w:color w:val="00457C"/>
                <w:lang w:eastAsia="cs-CZ"/>
              </w:rPr>
              <w:t>4</w:t>
            </w:r>
          </w:p>
        </w:tc>
      </w:tr>
      <w:tr w:rsidR="002635B0" w:rsidRPr="003E782E" w:rsidTr="00C53FC5">
        <w:trPr>
          <w:trHeight w:hRule="exact" w:val="454"/>
          <w:jc w:val="center"/>
        </w:trPr>
        <w:tc>
          <w:tcPr>
            <w:tcW w:w="3695" w:type="dxa"/>
            <w:shd w:val="pct20" w:color="000000" w:fill="FFFFFF"/>
            <w:vAlign w:val="bottom"/>
          </w:tcPr>
          <w:p w:rsidR="002635B0" w:rsidRPr="00C53FC5" w:rsidRDefault="002635B0" w:rsidP="00C53FC5">
            <w:pPr>
              <w:jc w:val="both"/>
              <w:rPr>
                <w:rFonts w:cs="Arial"/>
                <w:b/>
                <w:color w:val="00457C"/>
                <w:lang w:eastAsia="cs-CZ"/>
              </w:rPr>
            </w:pPr>
            <w:r w:rsidRPr="00C53FC5">
              <w:rPr>
                <w:rFonts w:cs="Arial"/>
                <w:b/>
                <w:color w:val="00457C"/>
                <w:lang w:eastAsia="cs-CZ"/>
              </w:rPr>
              <w:t>Evropský partner:</w:t>
            </w:r>
          </w:p>
        </w:tc>
        <w:tc>
          <w:tcPr>
            <w:tcW w:w="3393" w:type="dxa"/>
            <w:shd w:val="pct20" w:color="000000" w:fill="FFFFFF"/>
            <w:vAlign w:val="bottom"/>
          </w:tcPr>
          <w:p w:rsidR="002635B0" w:rsidRPr="00C53FC5" w:rsidRDefault="002635B0" w:rsidP="00C53FC5">
            <w:pPr>
              <w:jc w:val="right"/>
              <w:rPr>
                <w:rFonts w:cs="Arial"/>
                <w:b/>
                <w:color w:val="00457C"/>
                <w:lang w:eastAsia="cs-CZ"/>
              </w:rPr>
            </w:pPr>
            <w:r w:rsidRPr="00C53FC5">
              <w:rPr>
                <w:rFonts w:cs="Arial"/>
                <w:b/>
                <w:color w:val="00457C"/>
                <w:lang w:eastAsia="cs-CZ"/>
              </w:rPr>
              <w:t>ChemLog T&amp;T</w:t>
            </w:r>
          </w:p>
        </w:tc>
      </w:tr>
      <w:tr w:rsidR="002635B0" w:rsidRPr="003E782E" w:rsidTr="00C53FC5">
        <w:trPr>
          <w:trHeight w:hRule="exact" w:val="454"/>
          <w:jc w:val="center"/>
        </w:trPr>
        <w:tc>
          <w:tcPr>
            <w:tcW w:w="3695" w:type="dxa"/>
            <w:shd w:val="pct5"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Generální partner:</w:t>
            </w:r>
          </w:p>
        </w:tc>
        <w:tc>
          <w:tcPr>
            <w:tcW w:w="3393" w:type="dxa"/>
            <w:shd w:val="pct5" w:color="000000" w:fill="FFFFFF"/>
            <w:vAlign w:val="bottom"/>
          </w:tcPr>
          <w:p w:rsidR="002635B0" w:rsidRPr="00C53FC5" w:rsidRDefault="002635B0" w:rsidP="00C53FC5">
            <w:pPr>
              <w:jc w:val="right"/>
              <w:rPr>
                <w:rFonts w:cs="Arial"/>
                <w:b/>
                <w:i/>
                <w:color w:val="00457C"/>
                <w:lang w:val="en-GB" w:eastAsia="cs-CZ"/>
              </w:rPr>
            </w:pPr>
            <w:r w:rsidRPr="00C53FC5">
              <w:rPr>
                <w:rFonts w:cs="Arial"/>
                <w:b/>
                <w:color w:val="00457C"/>
                <w:lang w:eastAsia="cs-CZ"/>
              </w:rPr>
              <w:t>Advanced World Transport</w:t>
            </w:r>
          </w:p>
        </w:tc>
      </w:tr>
      <w:tr w:rsidR="002635B0" w:rsidRPr="003E782E" w:rsidTr="00C53FC5">
        <w:trPr>
          <w:trHeight w:hRule="exact" w:val="454"/>
          <w:jc w:val="center"/>
        </w:trPr>
        <w:tc>
          <w:tcPr>
            <w:tcW w:w="3695" w:type="dxa"/>
            <w:shd w:val="pct20"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Zlatý partner:</w:t>
            </w:r>
          </w:p>
        </w:tc>
        <w:tc>
          <w:tcPr>
            <w:tcW w:w="3393" w:type="dxa"/>
            <w:shd w:val="pct20" w:color="000000" w:fill="FFFFFF"/>
            <w:vAlign w:val="bottom"/>
          </w:tcPr>
          <w:p w:rsidR="002635B0" w:rsidRPr="00C53FC5" w:rsidRDefault="002635B0" w:rsidP="00C53FC5">
            <w:pPr>
              <w:jc w:val="right"/>
              <w:rPr>
                <w:rFonts w:cs="Arial"/>
                <w:b/>
                <w:color w:val="00457C"/>
                <w:lang w:eastAsia="cs-CZ"/>
              </w:rPr>
            </w:pPr>
            <w:r w:rsidRPr="00C53FC5">
              <w:rPr>
                <w:rFonts w:cs="Arial"/>
                <w:b/>
                <w:color w:val="00457C"/>
                <w:lang w:eastAsia="cs-CZ"/>
              </w:rPr>
              <w:t>ČD Cargo</w:t>
            </w:r>
          </w:p>
        </w:tc>
      </w:tr>
      <w:tr w:rsidR="002635B0" w:rsidRPr="003E782E" w:rsidTr="00C53FC5">
        <w:trPr>
          <w:trHeight w:hRule="exact" w:val="853"/>
          <w:jc w:val="center"/>
        </w:trPr>
        <w:tc>
          <w:tcPr>
            <w:tcW w:w="3695" w:type="dxa"/>
            <w:shd w:val="pct5" w:color="000000" w:fill="FFFFFF"/>
            <w:vAlign w:val="bottom"/>
          </w:tcPr>
          <w:p w:rsidR="002635B0" w:rsidRPr="00C53FC5" w:rsidRDefault="002635B0" w:rsidP="00C53FC5">
            <w:pPr>
              <w:jc w:val="both"/>
              <w:rPr>
                <w:rFonts w:cs="Arial"/>
                <w:b/>
                <w:i/>
                <w:color w:val="00457C"/>
                <w:lang w:val="en-GB" w:eastAsia="cs-CZ"/>
              </w:rPr>
            </w:pPr>
            <w:r w:rsidRPr="00C53FC5">
              <w:rPr>
                <w:rFonts w:cs="Arial"/>
                <w:b/>
                <w:color w:val="00457C"/>
                <w:lang w:eastAsia="cs-CZ"/>
              </w:rPr>
              <w:t>Stříbrní partneři:</w:t>
            </w:r>
          </w:p>
        </w:tc>
        <w:tc>
          <w:tcPr>
            <w:tcW w:w="3393" w:type="dxa"/>
            <w:shd w:val="pct5" w:color="000000" w:fill="FFFFFF"/>
            <w:vAlign w:val="bottom"/>
          </w:tcPr>
          <w:p w:rsidR="002635B0" w:rsidRPr="00C53FC5" w:rsidRDefault="002635B0" w:rsidP="00C53FC5">
            <w:pPr>
              <w:jc w:val="right"/>
              <w:rPr>
                <w:rFonts w:cs="Arial"/>
                <w:b/>
                <w:color w:val="00457C"/>
                <w:lang w:eastAsia="cs-CZ"/>
              </w:rPr>
            </w:pPr>
            <w:r w:rsidRPr="00C53FC5">
              <w:rPr>
                <w:rFonts w:cs="Arial"/>
                <w:b/>
                <w:color w:val="00457C"/>
                <w:lang w:eastAsia="cs-CZ"/>
              </w:rPr>
              <w:t>FM Logistic</w:t>
            </w:r>
          </w:p>
          <w:p w:rsidR="002635B0" w:rsidRPr="00C53FC5" w:rsidRDefault="002635B0" w:rsidP="00C53FC5">
            <w:pPr>
              <w:jc w:val="right"/>
              <w:rPr>
                <w:rFonts w:cs="Arial"/>
                <w:b/>
                <w:i/>
                <w:color w:val="00457C"/>
                <w:lang w:val="en-GB" w:eastAsia="cs-CZ"/>
              </w:rPr>
            </w:pPr>
            <w:r w:rsidRPr="00C53FC5">
              <w:rPr>
                <w:rFonts w:cs="Arial"/>
                <w:b/>
                <w:color w:val="00457C"/>
                <w:lang w:eastAsia="cs-CZ"/>
              </w:rPr>
              <w:t>Dachser Czech Republic</w:t>
            </w:r>
          </w:p>
        </w:tc>
      </w:tr>
    </w:tbl>
    <w:p w:rsidR="002635B0" w:rsidRPr="003E782E" w:rsidRDefault="002635B0" w:rsidP="00A618E3">
      <w:pPr>
        <w:jc w:val="both"/>
        <w:rPr>
          <w:bCs/>
        </w:rPr>
      </w:pPr>
    </w:p>
    <w:p w:rsidR="002635B0" w:rsidRPr="003E782E" w:rsidRDefault="002635B0" w:rsidP="00A618E3">
      <w:pPr>
        <w:jc w:val="both"/>
        <w:rPr>
          <w:bCs/>
        </w:rPr>
      </w:pPr>
      <w:r w:rsidRPr="003E782E">
        <w:rPr>
          <w:bCs/>
        </w:rPr>
        <w:t>Druhý konferenční den nabídl účastníkům exkurzi do míst, kam se běžně nedostanou – do zázemí Letiště Ruzyně a do areálu jednoho z nejmodernějších terminálů expresní letecké dopravy v Evropě společnosti Skyport a.s.</w:t>
      </w:r>
    </w:p>
    <w:p w:rsidR="002635B0" w:rsidRPr="003E782E" w:rsidRDefault="002635B0" w:rsidP="00A618E3">
      <w:pPr>
        <w:jc w:val="both"/>
      </w:pPr>
    </w:p>
    <w:p w:rsidR="002635B0" w:rsidRPr="003E782E" w:rsidRDefault="002635B0" w:rsidP="00A618E3">
      <w:pPr>
        <w:jc w:val="both"/>
      </w:pPr>
      <w:r w:rsidRPr="003E782E">
        <w:t xml:space="preserve">Účastníci měli jedinečnou příležitost projít si a prohlédnout například třídírnu zavazadel nebo letištní stanici Záchranné a požární služby včetně trenažéru pro zde sloužící hasiče. Fundovaný průvodce je seznámil s fungováním dráhového systému a z několika desítek metrů byly k vidění starty a přistání různých typů letadel. </w:t>
      </w:r>
    </w:p>
    <w:p w:rsidR="002635B0" w:rsidRPr="003E782E" w:rsidRDefault="002635B0" w:rsidP="00A618E3">
      <w:pPr>
        <w:jc w:val="both"/>
      </w:pPr>
      <w:r w:rsidRPr="003E782E">
        <w:t>Exkurze vyvrcholila prohlídkou terminálu Skyport a.s., kde se návštěvníci seznámili s jednotlivými aspekty logistiky leteckého carga a byly jim předvedeny procesy spojené jak s příjmem, tak s odesíláním leteckých zásilek.</w:t>
      </w:r>
    </w:p>
    <w:p w:rsidR="002635B0" w:rsidRPr="003E782E" w:rsidRDefault="002635B0" w:rsidP="00A618E3">
      <w:pPr>
        <w:jc w:val="both"/>
      </w:pPr>
      <w:r w:rsidRPr="003E782E">
        <w:t>Všichni, kteří využili šance dostat se do provozů, které zůstávají za normálních okolností skryté, vysoce hodnotili výběr atraktivního prostředí a odborný výklad poskytnutý během exkurze.</w:t>
      </w:r>
    </w:p>
    <w:p w:rsidR="003B2299" w:rsidRDefault="003B2299" w:rsidP="00A618E3">
      <w:pPr>
        <w:jc w:val="both"/>
        <w:rPr>
          <w:b/>
        </w:rPr>
      </w:pPr>
    </w:p>
    <w:p w:rsidR="002635B0" w:rsidRPr="003E782E" w:rsidRDefault="002635B0" w:rsidP="00A618E3">
      <w:pPr>
        <w:jc w:val="both"/>
        <w:rPr>
          <w:b/>
        </w:rPr>
      </w:pPr>
      <w:r w:rsidRPr="003E782E">
        <w:rPr>
          <w:b/>
        </w:rPr>
        <w:t>Podrobnější informace a fotografie</w:t>
      </w:r>
    </w:p>
    <w:p w:rsidR="002635B0" w:rsidRPr="003E782E" w:rsidRDefault="002635B0" w:rsidP="00A618E3">
      <w:pPr>
        <w:jc w:val="both"/>
        <w:rPr>
          <w:b/>
        </w:rPr>
      </w:pPr>
      <w:r w:rsidRPr="003E782E">
        <w:rPr>
          <w:b/>
        </w:rPr>
        <w:t>naleznete na webových stránkách</w:t>
      </w:r>
    </w:p>
    <w:p w:rsidR="002635B0" w:rsidRPr="003E782E" w:rsidRDefault="002813BC" w:rsidP="00A618E3">
      <w:pPr>
        <w:jc w:val="both"/>
        <w:rPr>
          <w:b/>
        </w:rPr>
      </w:pPr>
      <w:hyperlink r:id="rId7" w:history="1">
        <w:r w:rsidR="002635B0" w:rsidRPr="003E782E">
          <w:rPr>
            <w:rStyle w:val="Hypertextovodkaz"/>
            <w:b/>
          </w:rPr>
          <w:t>www.speedchain.eu</w:t>
        </w:r>
      </w:hyperlink>
    </w:p>
    <w:p w:rsidR="002635B0" w:rsidRPr="003E782E" w:rsidRDefault="002635B0" w:rsidP="00A618E3">
      <w:pPr>
        <w:jc w:val="both"/>
      </w:pPr>
    </w:p>
    <w:p w:rsidR="002635B0" w:rsidRPr="003E782E" w:rsidRDefault="002635B0" w:rsidP="00A618E3">
      <w:pPr>
        <w:jc w:val="both"/>
      </w:pPr>
    </w:p>
    <w:p w:rsidR="002635B0" w:rsidRPr="003E782E" w:rsidRDefault="002635B0" w:rsidP="00A618E3">
      <w:pPr>
        <w:jc w:val="both"/>
      </w:pPr>
    </w:p>
    <w:p w:rsidR="002635B0" w:rsidRPr="003E782E" w:rsidRDefault="002635B0" w:rsidP="00A618E3">
      <w:pPr>
        <w:jc w:val="both"/>
      </w:pPr>
    </w:p>
    <w:p w:rsidR="002635B0" w:rsidRPr="00EB673C" w:rsidRDefault="002635B0" w:rsidP="00EB673C"/>
    <w:sectPr w:rsidR="002635B0" w:rsidRPr="00EB673C" w:rsidSect="005564E5">
      <w:headerReference w:type="default" r:id="rId8"/>
      <w:footerReference w:type="default" r:id="rId9"/>
      <w:pgSz w:w="11906" w:h="16838" w:code="9"/>
      <w:pgMar w:top="3119" w:right="2552" w:bottom="851"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C5" w:rsidRDefault="00C53FC5" w:rsidP="00A11F66">
      <w:pPr>
        <w:spacing w:after="0" w:line="240" w:lineRule="auto"/>
      </w:pPr>
      <w:r>
        <w:separator/>
      </w:r>
    </w:p>
  </w:endnote>
  <w:endnote w:type="continuationSeparator" w:id="0">
    <w:p w:rsidR="00C53FC5" w:rsidRDefault="00C53FC5" w:rsidP="00A11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B0" w:rsidRDefault="002813BC" w:rsidP="00EB673C">
    <w:pPr>
      <w:pStyle w:val="Zpat"/>
      <w:tabs>
        <w:tab w:val="clear" w:pos="9072"/>
        <w:tab w:val="left" w:pos="8505"/>
      </w:tabs>
      <w:ind w:left="153"/>
      <w:rPr>
        <w:sz w:val="16"/>
        <w:szCs w:val="16"/>
      </w:rPr>
    </w:pPr>
    <w:r w:rsidRPr="002813BC">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s2050" type="#_x0000_t75" style="position:absolute;left:0;text-align:left;margin-left:425.55pt;margin-top:-168.95pt;width:93.65pt;height:168.75pt;z-index:2;visibility:visible">
          <v:imagedata r:id="rId1" o:title=""/>
        </v:shape>
      </w:pict>
    </w:r>
    <w:r w:rsidR="002635B0">
      <w:rPr>
        <w:i/>
        <w:sz w:val="16"/>
        <w:szCs w:val="16"/>
      </w:rPr>
      <w:br/>
    </w:r>
    <w:r w:rsidR="002635B0">
      <w:rPr>
        <w:i/>
        <w:sz w:val="16"/>
        <w:szCs w:val="16"/>
      </w:rPr>
      <w:tab/>
    </w:r>
    <w:r w:rsidR="002635B0">
      <w:rPr>
        <w:i/>
        <w:sz w:val="16"/>
        <w:szCs w:val="16"/>
      </w:rPr>
      <w:tab/>
    </w:r>
  </w:p>
  <w:p w:rsidR="002635B0" w:rsidRPr="003400C6" w:rsidRDefault="002635B0" w:rsidP="0071299A">
    <w:pPr>
      <w:pStyle w:val="Zpat"/>
      <w:tabs>
        <w:tab w:val="left" w:pos="8505"/>
      </w:tabs>
      <w:ind w:left="8496"/>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C5" w:rsidRDefault="00C53FC5" w:rsidP="00A11F66">
      <w:pPr>
        <w:spacing w:after="0" w:line="240" w:lineRule="auto"/>
      </w:pPr>
      <w:r>
        <w:separator/>
      </w:r>
    </w:p>
  </w:footnote>
  <w:footnote w:type="continuationSeparator" w:id="0">
    <w:p w:rsidR="00C53FC5" w:rsidRDefault="00C53FC5" w:rsidP="00A11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B0" w:rsidRDefault="002813BC" w:rsidP="0071299A">
    <w:pPr>
      <w:pStyle w:val="Zhlav"/>
      <w:ind w:left="-5954" w:firstLine="5954"/>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49" type="#_x0000_t75" style="position:absolute;left:0;text-align:left;margin-left:.3pt;margin-top:.25pt;width:140.3pt;height:26.35pt;z-index:1;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613F"/>
    <w:multiLevelType w:val="hybridMultilevel"/>
    <w:tmpl w:val="474CAF1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nsid w:val="074B0AF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2F4C2777"/>
    <w:multiLevelType w:val="hybridMultilevel"/>
    <w:tmpl w:val="AE20932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212157A"/>
    <w:multiLevelType w:val="hybridMultilevel"/>
    <w:tmpl w:val="19E246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BD068A4"/>
    <w:multiLevelType w:val="hybridMultilevel"/>
    <w:tmpl w:val="42C04D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CD30103"/>
    <w:multiLevelType w:val="hybridMultilevel"/>
    <w:tmpl w:val="426C8BE8"/>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64027C76"/>
    <w:multiLevelType w:val="hybridMultilevel"/>
    <w:tmpl w:val="FB56A3D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67DC307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nsid w:val="6DC03743"/>
    <w:multiLevelType w:val="hybridMultilevel"/>
    <w:tmpl w:val="764845C4"/>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732B1B48"/>
    <w:multiLevelType w:val="hybridMultilevel"/>
    <w:tmpl w:val="16287C3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136168"/>
    <w:multiLevelType w:val="hybridMultilevel"/>
    <w:tmpl w:val="36302DB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9"/>
  </w:num>
  <w:num w:numId="4">
    <w:abstractNumId w:val="0"/>
  </w:num>
  <w:num w:numId="5">
    <w:abstractNumId w:val="2"/>
  </w:num>
  <w:num w:numId="6">
    <w:abstractNumId w:val="10"/>
  </w:num>
  <w:num w:numId="7">
    <w:abstractNumId w:val="6"/>
  </w:num>
  <w:num w:numId="8">
    <w:abstractNumId w:val="3"/>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9ED"/>
    <w:rsid w:val="0001314D"/>
    <w:rsid w:val="0001643D"/>
    <w:rsid w:val="00036CDE"/>
    <w:rsid w:val="000C55AA"/>
    <w:rsid w:val="0010184A"/>
    <w:rsid w:val="00107C9D"/>
    <w:rsid w:val="00123150"/>
    <w:rsid w:val="00144FAC"/>
    <w:rsid w:val="001E3E74"/>
    <w:rsid w:val="00211F2C"/>
    <w:rsid w:val="00236E85"/>
    <w:rsid w:val="002635B0"/>
    <w:rsid w:val="00270DF0"/>
    <w:rsid w:val="002813BC"/>
    <w:rsid w:val="002F11D3"/>
    <w:rsid w:val="003400C6"/>
    <w:rsid w:val="00390D26"/>
    <w:rsid w:val="003B2299"/>
    <w:rsid w:val="003C4B5F"/>
    <w:rsid w:val="003C6696"/>
    <w:rsid w:val="003E782E"/>
    <w:rsid w:val="0050011A"/>
    <w:rsid w:val="005564E5"/>
    <w:rsid w:val="005A4082"/>
    <w:rsid w:val="0071299A"/>
    <w:rsid w:val="00732D81"/>
    <w:rsid w:val="007C497F"/>
    <w:rsid w:val="008A4652"/>
    <w:rsid w:val="009469ED"/>
    <w:rsid w:val="009F6619"/>
    <w:rsid w:val="00A07DDE"/>
    <w:rsid w:val="00A11F66"/>
    <w:rsid w:val="00A618E3"/>
    <w:rsid w:val="00AC64C6"/>
    <w:rsid w:val="00AC7545"/>
    <w:rsid w:val="00BA13F5"/>
    <w:rsid w:val="00BA5034"/>
    <w:rsid w:val="00BA5B99"/>
    <w:rsid w:val="00BD6EFE"/>
    <w:rsid w:val="00C53FC5"/>
    <w:rsid w:val="00C9627E"/>
    <w:rsid w:val="00CA6CC9"/>
    <w:rsid w:val="00CE7035"/>
    <w:rsid w:val="00D2457F"/>
    <w:rsid w:val="00D42366"/>
    <w:rsid w:val="00DA2236"/>
    <w:rsid w:val="00EB673C"/>
    <w:rsid w:val="00F35F59"/>
    <w:rsid w:val="00F57EC2"/>
    <w:rsid w:val="00F62B18"/>
    <w:rsid w:val="00F764E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661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11F6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A11F66"/>
    <w:rPr>
      <w:rFonts w:cs="Times New Roman"/>
    </w:rPr>
  </w:style>
  <w:style w:type="paragraph" w:styleId="Zpat">
    <w:name w:val="footer"/>
    <w:basedOn w:val="Normln"/>
    <w:link w:val="ZpatChar"/>
    <w:uiPriority w:val="99"/>
    <w:rsid w:val="00A11F6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A11F66"/>
    <w:rPr>
      <w:rFonts w:cs="Times New Roman"/>
    </w:rPr>
  </w:style>
  <w:style w:type="paragraph" w:styleId="Textbubliny">
    <w:name w:val="Balloon Text"/>
    <w:basedOn w:val="Normln"/>
    <w:link w:val="TextbublinyChar"/>
    <w:uiPriority w:val="99"/>
    <w:semiHidden/>
    <w:rsid w:val="00A11F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11F66"/>
    <w:rPr>
      <w:rFonts w:ascii="Tahoma" w:hAnsi="Tahoma" w:cs="Tahoma"/>
      <w:sz w:val="16"/>
      <w:szCs w:val="16"/>
    </w:rPr>
  </w:style>
  <w:style w:type="table" w:styleId="Mkatabulky">
    <w:name w:val="Table Grid"/>
    <w:basedOn w:val="Normlntabulka"/>
    <w:uiPriority w:val="99"/>
    <w:rsid w:val="00A07D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0C55AA"/>
    <w:pPr>
      <w:ind w:left="720"/>
      <w:contextualSpacing/>
    </w:pPr>
  </w:style>
  <w:style w:type="table" w:styleId="Moderntabulka">
    <w:name w:val="Table Contemporary"/>
    <w:basedOn w:val="Normlntabulka"/>
    <w:uiPriority w:val="99"/>
    <w:rsid w:val="00A618E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Hypertextovodkaz">
    <w:name w:val="Hyperlink"/>
    <w:basedOn w:val="Standardnpsmoodstavce"/>
    <w:uiPriority w:val="99"/>
    <w:rsid w:val="00A618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edcha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1011</Words>
  <Characters>5969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Jirka Kalenský</dc:creator>
  <cp:keywords/>
  <dc:description/>
  <cp:lastModifiedBy>Lucka</cp:lastModifiedBy>
  <cp:revision>4</cp:revision>
  <cp:lastPrinted>2012-10-18T06:34:00Z</cp:lastPrinted>
  <dcterms:created xsi:type="dcterms:W3CDTF">2012-11-19T09:17:00Z</dcterms:created>
  <dcterms:modified xsi:type="dcterms:W3CDTF">2012-11-20T12:09:00Z</dcterms:modified>
</cp:coreProperties>
</file>